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关于开展岗位竞聘演讲答辩与民主测评工作的通知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运大人函〔2021〕10号</w:t>
      </w:r>
    </w:p>
    <w:p>
      <w:pPr>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各相关单位、部门：</w:t>
      </w:r>
      <w:bookmarkStart w:id="0" w:name="_GoBack"/>
      <w:bookmarkEnd w:id="0"/>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根据岗位竞聘工作安排，学校于2021年4月19日（周一）在图书大楼一楼学术报告厅组织开展岗位竞聘演讲答辩与民主测评工作，现将有关事项通知如下：</w:t>
      </w:r>
    </w:p>
    <w:p>
      <w:pPr>
        <w:ind w:firstLine="64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一、竞聘安排</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根据《岗位竞聘演讲答辩与民主测评实施方案》（附后）和学校排课等工作实际，对竞聘时间、演讲答辩顺序及参加测评人员安排如下：</w:t>
      </w:r>
    </w:p>
    <w:tbl>
      <w:tblPr>
        <w:tblStyle w:val="5"/>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760"/>
        <w:gridCol w:w="1190"/>
        <w:gridCol w:w="2605"/>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序号</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时间</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学院</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竞聘者及顺序</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参加测评人员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上午</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8：30-9：50</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健康学院</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王香妮、李心、郭俊花、张增帅、梁洁洁、尚会斌、屈静怡</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校领导，教授代表，健康学院全体教职工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上午</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10：00-11：20</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文化创意与</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旅游学院</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段林娟、陈普青、段高培、曹廷杰、申蓓阳、解志军、崔亚茹、澹台冰艳</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校领导，教授代表，印刷系、商管系、财会系及艺术系全体教职工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3</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上午</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11：30-12：00</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通识教育学院</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何鹏飞、许明欣、杨安琪</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校领导，教授代表，思政部、基础部、体育部及心理教研室全体教职工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4</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下午</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14：30-15：40</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终身教育学院</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冯建、汪伟、王晓雅、王磊、王茂军、吕维宗、张健</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校领导，教授代表，培训中心及扩招办全体教职工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5</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下午</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16：00-17：50</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智能制造与智慧矿山学院</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姚博、郭超、郭良、裴岩、尚军宁、张宝宝、张书君、姚伟德、赵红霞、华金、魏云雁</w:t>
            </w:r>
          </w:p>
        </w:tc>
        <w:tc>
          <w:tcPr>
            <w:tcW w:w="2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outlineLvl w:val="9"/>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校领导，教授代表，矿山系、机电系、汽车系及教学矿井全体教职工</w:t>
            </w: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二、有关要求</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jc w:val="both"/>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各相关单位、部门教职工有课正常上课，无课者按时参加民主测评活动，无法参加者履行请假手续，由分管人事工作的校领导批准。各相关单位、部门于4月18日17：00前将参加民主测评人员情况表报至人事处张蓓。</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2.参评人员自带钢笔或签字笔。</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3.竞聘者不参与民主测评。认真阅读《岗位竞聘演讲答辩与民主测评实施方案》，按要求做好竞聘准备。</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jc w:val="both"/>
        <w:textAlignment w:val="auto"/>
        <w:outlineLvl w:val="9"/>
        <w:rPr>
          <w:rFonts w:hint="eastAsia" w:ascii="仿宋" w:hAnsi="仿宋" w:eastAsia="仿宋" w:cs="仿宋"/>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jc w:val="both"/>
        <w:textAlignment w:val="auto"/>
        <w:outlineLvl w:val="9"/>
        <w:rPr>
          <w:rFonts w:hint="eastAsia" w:ascii="仿宋" w:hAnsi="仿宋" w:eastAsia="仿宋" w:cs="仿宋"/>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jc w:val="right"/>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运城职业技术大学人事处     </w:t>
      </w:r>
    </w:p>
    <w:p>
      <w:pPr>
        <w:keepNext w:val="0"/>
        <w:keepLines w:val="0"/>
        <w:pageBreakBefore w:val="0"/>
        <w:widowControl w:val="0"/>
        <w:kinsoku/>
        <w:wordWrap w:val="0"/>
        <w:overflowPunct/>
        <w:topLinePunct w:val="0"/>
        <w:autoSpaceDE/>
        <w:autoSpaceDN/>
        <w:bidi w:val="0"/>
        <w:adjustRightInd w:val="0"/>
        <w:snapToGrid w:val="0"/>
        <w:spacing w:line="360" w:lineRule="auto"/>
        <w:ind w:right="0"/>
        <w:jc w:val="right"/>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2021年4月18日        </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center"/>
        <w:textAlignment w:val="auto"/>
        <w:outlineLvl w:val="9"/>
        <w:rPr>
          <w:rFonts w:hint="eastAsia" w:ascii="宋体" w:hAnsi="宋体" w:eastAsia="宋体" w:cs="宋体"/>
          <w:b/>
          <w:sz w:val="36"/>
          <w:szCs w:val="36"/>
          <w:lang w:val="en-US" w:eastAsia="zh-CN"/>
        </w:rPr>
      </w:pPr>
      <w:r>
        <w:rPr>
          <w:rFonts w:hint="eastAsia" w:ascii="宋体" w:hAnsi="宋体" w:eastAsia="宋体" w:cs="宋体"/>
          <w:b/>
          <w:sz w:val="36"/>
          <w:szCs w:val="36"/>
          <w:lang w:eastAsia="zh-CN"/>
        </w:rPr>
        <w:t>运城职业技术</w:t>
      </w:r>
      <w:r>
        <w:rPr>
          <w:rFonts w:hint="eastAsia" w:ascii="宋体" w:hAnsi="宋体" w:eastAsia="宋体" w:cs="宋体"/>
          <w:b/>
          <w:sz w:val="36"/>
          <w:szCs w:val="36"/>
          <w:lang w:val="en-US" w:eastAsia="zh-CN"/>
        </w:rPr>
        <w:t>大学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center"/>
        <w:textAlignment w:val="auto"/>
        <w:outlineLvl w:val="9"/>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岗位竞聘演讲答辩</w:t>
      </w:r>
      <w:r>
        <w:rPr>
          <w:rFonts w:hint="eastAsia" w:ascii="宋体" w:hAnsi="宋体" w:cs="宋体"/>
          <w:b/>
          <w:sz w:val="36"/>
          <w:szCs w:val="36"/>
          <w:lang w:val="en-US" w:eastAsia="zh-CN"/>
        </w:rPr>
        <w:t>与民主测评</w:t>
      </w:r>
      <w:r>
        <w:rPr>
          <w:rFonts w:hint="eastAsia" w:ascii="宋体" w:hAnsi="宋体" w:eastAsia="宋体" w:cs="宋体"/>
          <w:b/>
          <w:sz w:val="36"/>
          <w:szCs w:val="36"/>
          <w:lang w:val="en-US" w:eastAsia="zh-CN"/>
        </w:rPr>
        <w:t>实施方案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center"/>
        <w:textAlignment w:val="auto"/>
        <w:outlineLvl w:val="9"/>
        <w:rPr>
          <w:rFonts w:hint="eastAsia" w:ascii="宋体" w:hAnsi="宋体" w:eastAsia="宋体" w:cs="宋体"/>
          <w:b/>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为了做好竞聘上岗工作，根据学校2021年岗位竞聘工作安排，本着“公开平等、竞争择优”的原则，结合学校实际，特制订本方案。</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一、工作流程</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（一）演讲答辩</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1.演讲答辩顺序：原则上根据竞聘公告公布的学院、岗位排序进行，同一岗位（以第一报名岗位为准）按竞聘者姓氏首拼音字母排序。</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2.演讲要求：演讲时间不超过5分钟，内容应涵盖个人简介、岗位认识、竞聘优势和工作设想。</w:t>
      </w:r>
      <w:r>
        <w:rPr>
          <w:rFonts w:hint="eastAsia" w:ascii="仿宋" w:hAnsi="仿宋" w:eastAsia="仿宋" w:cs="仿宋"/>
          <w:color w:val="000000"/>
          <w:sz w:val="32"/>
          <w:szCs w:val="32"/>
        </w:rPr>
        <w:t>演讲结束前</w:t>
      </w:r>
      <w:r>
        <w:rPr>
          <w:rFonts w:hint="eastAsia" w:ascii="仿宋" w:hAnsi="仿宋" w:eastAsia="仿宋" w:cs="仿宋"/>
          <w:color w:val="000000"/>
          <w:sz w:val="32"/>
          <w:szCs w:val="32"/>
          <w:lang w:val="en-US" w:eastAsia="zh-CN"/>
        </w:rPr>
        <w:t>30秒工作人员举牌</w:t>
      </w:r>
      <w:r>
        <w:rPr>
          <w:rFonts w:hint="eastAsia" w:ascii="仿宋" w:hAnsi="仿宋" w:eastAsia="仿宋" w:cs="仿宋"/>
          <w:color w:val="000000"/>
          <w:sz w:val="32"/>
          <w:szCs w:val="32"/>
        </w:rPr>
        <w:t>提示</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3.答辩要求：由参与测评人员提问问题，每个问题思考时间不超过30秒，回答完成应主动示意“回答完毕”。答辩时间不超过5分钟。</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（二）民主测评</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参与测评人员进行评分，测评人员包括校级领导、教授代表和服务对象代表。评分标准见附件。</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（三）统计得分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竞聘工作办公室按去掉1个最低分和1个最高分统计平均分作为最终得分，提交竞聘工作领导组。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三、工作要求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1.竞聘工作办公室做好竞聘演讲答辩各项准备工作，落实责任分工，确保竞聘工作顺利开展。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2.竞聘者要严格遵守纪律，若在演讲答辩等各竞聘环节中出现违规行为，由竞聘工作领导组酌情作出劝阻、警告、取消成绩等处理。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参与测评人员要客观公正、严肃认真，在听取竞聘者演讲答辩的基础上，依据测评表中的评分标准，结合日常对竞聘者或本人工作了解掌握的情况对其进行综合测评打分。参与测评人员要掌握评分尺度和先后平衡，独自打分，不互相议论或干扰别人，按规定要求进行测评。打分尽量采用差额分布，避免雷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4.现场人员不得随意走动、进出现场，要将手机关机或调成振动。</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附件：运城职业技术大学岗位竞聘评分标准</w:t>
      </w:r>
    </w:p>
    <w:p>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r>
        <w:rPr>
          <w:rFonts w:hint="eastAsia" w:ascii="黑体" w:hAnsi="黑体" w:eastAsia="黑体" w:cs="黑体"/>
          <w:color w:val="00000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运城职业技术大学岗位竞</w:t>
      </w:r>
      <w:r>
        <w:rPr>
          <w:rFonts w:hint="eastAsia" w:ascii="宋体" w:hAnsi="宋体" w:cs="宋体"/>
          <w:b/>
          <w:bCs/>
          <w:color w:val="000000"/>
          <w:sz w:val="36"/>
          <w:szCs w:val="36"/>
          <w:lang w:val="en-US" w:eastAsia="zh-CN"/>
        </w:rPr>
        <w:t>聘评分</w:t>
      </w:r>
      <w:r>
        <w:rPr>
          <w:rFonts w:hint="eastAsia" w:ascii="宋体" w:hAnsi="宋体" w:eastAsia="宋体" w:cs="宋体"/>
          <w:b/>
          <w:bCs/>
          <w:color w:val="000000"/>
          <w:sz w:val="36"/>
          <w:szCs w:val="36"/>
          <w:lang w:val="en-US" w:eastAsia="zh-CN"/>
        </w:rPr>
        <w:t>标准</w:t>
      </w:r>
    </w:p>
    <w:tbl>
      <w:tblPr>
        <w:tblStyle w:val="4"/>
        <w:tblW w:w="8373" w:type="dxa"/>
        <w:jc w:val="center"/>
        <w:tblLayout w:type="autofit"/>
        <w:tblCellMar>
          <w:top w:w="0" w:type="dxa"/>
          <w:left w:w="108" w:type="dxa"/>
          <w:bottom w:w="0" w:type="dxa"/>
          <w:right w:w="108" w:type="dxa"/>
        </w:tblCellMar>
      </w:tblPr>
      <w:tblGrid>
        <w:gridCol w:w="1507"/>
        <w:gridCol w:w="1887"/>
        <w:gridCol w:w="3150"/>
        <w:gridCol w:w="1829"/>
      </w:tblGrid>
      <w:tr>
        <w:tblPrEx>
          <w:tblCellMar>
            <w:top w:w="0" w:type="dxa"/>
            <w:left w:w="108" w:type="dxa"/>
            <w:bottom w:w="0" w:type="dxa"/>
            <w:right w:w="108" w:type="dxa"/>
          </w:tblCellMar>
        </w:tblPrEx>
        <w:trPr>
          <w:trHeight w:val="1020" w:hRule="exact"/>
          <w:jc w:val="center"/>
        </w:trPr>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序号</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评价指标</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评价因素</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分值</w:t>
            </w:r>
          </w:p>
        </w:tc>
      </w:tr>
      <w:tr>
        <w:tblPrEx>
          <w:tblCellMar>
            <w:top w:w="0" w:type="dxa"/>
            <w:left w:w="108" w:type="dxa"/>
            <w:bottom w:w="0" w:type="dxa"/>
            <w:right w:w="108" w:type="dxa"/>
          </w:tblCellMar>
        </w:tblPrEx>
        <w:trPr>
          <w:trHeight w:val="1020" w:hRule="exact"/>
          <w:jc w:val="center"/>
        </w:trPr>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思维能力</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批判性思维；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创造性思维</w:t>
            </w:r>
            <w:r>
              <w:rPr>
                <w:rFonts w:hint="eastAsia" w:ascii="宋体" w:hAnsi="宋体" w:cs="宋体"/>
                <w:i w:val="0"/>
                <w:iCs w:val="0"/>
                <w:color w:val="000000"/>
                <w:kern w:val="0"/>
                <w:sz w:val="24"/>
                <w:szCs w:val="24"/>
                <w:u w:val="none"/>
                <w:lang w:val="en-US" w:eastAsia="zh-CN" w:bidi="ar"/>
              </w:rPr>
              <w:t>。</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r>
      <w:tr>
        <w:tblPrEx>
          <w:tblCellMar>
            <w:top w:w="0" w:type="dxa"/>
            <w:left w:w="108" w:type="dxa"/>
            <w:bottom w:w="0" w:type="dxa"/>
            <w:right w:w="108" w:type="dxa"/>
          </w:tblCellMar>
        </w:tblPrEx>
        <w:trPr>
          <w:trHeight w:val="1020" w:hRule="exact"/>
          <w:jc w:val="center"/>
        </w:trPr>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管理能力</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协同力；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创造力</w:t>
            </w:r>
            <w:r>
              <w:rPr>
                <w:rFonts w:hint="eastAsia" w:ascii="宋体" w:hAnsi="宋体" w:cs="宋体"/>
                <w:i w:val="0"/>
                <w:iCs w:val="0"/>
                <w:color w:val="000000"/>
                <w:kern w:val="0"/>
                <w:sz w:val="24"/>
                <w:szCs w:val="24"/>
                <w:u w:val="none"/>
                <w:lang w:val="en-US" w:eastAsia="zh-CN" w:bidi="ar"/>
              </w:rPr>
              <w:t>。</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r>
      <w:tr>
        <w:tblPrEx>
          <w:tblCellMar>
            <w:top w:w="0" w:type="dxa"/>
            <w:left w:w="108" w:type="dxa"/>
            <w:bottom w:w="0" w:type="dxa"/>
            <w:right w:w="108" w:type="dxa"/>
          </w:tblCellMar>
        </w:tblPrEx>
        <w:trPr>
          <w:trHeight w:val="1020" w:hRule="exact"/>
          <w:jc w:val="center"/>
        </w:trPr>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领导能力</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影响力；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把控力</w:t>
            </w:r>
            <w:r>
              <w:rPr>
                <w:rFonts w:hint="eastAsia" w:ascii="宋体" w:hAnsi="宋体" w:cs="宋体"/>
                <w:i w:val="0"/>
                <w:iCs w:val="0"/>
                <w:color w:val="000000"/>
                <w:kern w:val="0"/>
                <w:sz w:val="24"/>
                <w:szCs w:val="24"/>
                <w:u w:val="none"/>
                <w:lang w:val="en-US" w:eastAsia="zh-CN" w:bidi="ar"/>
              </w:rPr>
              <w:t>。</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r>
      <w:tr>
        <w:tblPrEx>
          <w:tblCellMar>
            <w:top w:w="0" w:type="dxa"/>
            <w:left w:w="108" w:type="dxa"/>
            <w:bottom w:w="0" w:type="dxa"/>
            <w:right w:w="108" w:type="dxa"/>
          </w:tblCellMar>
        </w:tblPrEx>
        <w:trPr>
          <w:trHeight w:val="1020" w:hRule="exact"/>
          <w:jc w:val="center"/>
        </w:trPr>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关键能力</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品牌建设能力；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队伍建设能力</w:t>
            </w:r>
            <w:r>
              <w:rPr>
                <w:rFonts w:hint="eastAsia" w:ascii="宋体" w:hAnsi="宋体" w:cs="宋体"/>
                <w:i w:val="0"/>
                <w:iCs w:val="0"/>
                <w:color w:val="000000"/>
                <w:kern w:val="0"/>
                <w:sz w:val="24"/>
                <w:szCs w:val="24"/>
                <w:u w:val="none"/>
                <w:lang w:val="en-US" w:eastAsia="zh-CN" w:bidi="ar"/>
              </w:rPr>
              <w:t>。</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30</w:t>
            </w:r>
          </w:p>
        </w:tc>
      </w:tr>
      <w:tr>
        <w:tblPrEx>
          <w:tblCellMar>
            <w:top w:w="0" w:type="dxa"/>
            <w:left w:w="108" w:type="dxa"/>
            <w:bottom w:w="0" w:type="dxa"/>
            <w:right w:w="108" w:type="dxa"/>
          </w:tblCellMar>
        </w:tblPrEx>
        <w:trPr>
          <w:trHeight w:val="1020" w:hRule="exact"/>
          <w:jc w:val="center"/>
        </w:trPr>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价值观</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忠于党的教育事业；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恪守校训和使命；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事业心、责任感</w:t>
            </w:r>
            <w:r>
              <w:rPr>
                <w:rFonts w:hint="eastAsia" w:ascii="宋体" w:hAnsi="宋体" w:cs="宋体"/>
                <w:i w:val="0"/>
                <w:iCs w:val="0"/>
                <w:color w:val="000000"/>
                <w:kern w:val="0"/>
                <w:sz w:val="24"/>
                <w:szCs w:val="24"/>
                <w:u w:val="none"/>
                <w:lang w:val="en-US" w:eastAsia="zh-CN" w:bidi="ar"/>
              </w:rPr>
              <w:t>。</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填表注意事项：</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1.测评表分3种，</w:t>
      </w:r>
      <w:r>
        <w:rPr>
          <w:rFonts w:hint="eastAsia" w:ascii="宋体" w:hAnsi="宋体" w:cs="宋体"/>
          <w:color w:val="000000"/>
          <w:sz w:val="28"/>
          <w:szCs w:val="28"/>
          <w:lang w:val="en-US" w:eastAsia="zh-CN"/>
        </w:rPr>
        <w:t>分别</w:t>
      </w:r>
      <w:r>
        <w:rPr>
          <w:rFonts w:hint="eastAsia" w:ascii="宋体" w:hAnsi="宋体" w:eastAsia="宋体" w:cs="宋体"/>
          <w:color w:val="000000"/>
          <w:sz w:val="28"/>
          <w:szCs w:val="28"/>
          <w:lang w:val="en-US" w:eastAsia="zh-CN"/>
        </w:rPr>
        <w:t>为校领导</w:t>
      </w:r>
      <w:r>
        <w:rPr>
          <w:rFonts w:hint="eastAsia" w:ascii="宋体" w:hAnsi="宋体" w:cs="宋体"/>
          <w:color w:val="000000"/>
          <w:sz w:val="28"/>
          <w:szCs w:val="28"/>
          <w:lang w:val="en-US" w:eastAsia="zh-CN"/>
        </w:rPr>
        <w:t>、教授代表、</w:t>
      </w:r>
      <w:r>
        <w:rPr>
          <w:rFonts w:hint="eastAsia" w:ascii="宋体" w:hAnsi="宋体" w:eastAsia="宋体" w:cs="宋体"/>
          <w:color w:val="000000"/>
          <w:sz w:val="28"/>
          <w:szCs w:val="28"/>
          <w:lang w:val="en-US" w:eastAsia="zh-CN"/>
        </w:rPr>
        <w:t>服务对象</w:t>
      </w:r>
      <w:r>
        <w:rPr>
          <w:rFonts w:hint="eastAsia" w:ascii="宋体" w:hAnsi="宋体" w:cs="宋体"/>
          <w:color w:val="000000"/>
          <w:sz w:val="28"/>
          <w:szCs w:val="28"/>
          <w:lang w:val="en-US" w:eastAsia="zh-CN"/>
        </w:rPr>
        <w:t>代表</w:t>
      </w:r>
      <w:r>
        <w:rPr>
          <w:rFonts w:hint="eastAsia" w:ascii="宋体" w:hAnsi="宋体" w:eastAsia="宋体" w:cs="宋体"/>
          <w:color w:val="000000"/>
          <w:sz w:val="28"/>
          <w:szCs w:val="28"/>
          <w:lang w:val="en-US" w:eastAsia="zh-CN"/>
        </w:rPr>
        <w:t>测评用</w:t>
      </w:r>
      <w:r>
        <w:rPr>
          <w:rFonts w:hint="eastAsia" w:ascii="宋体" w:hAnsi="宋体" w:cs="宋体"/>
          <w:color w:val="000000"/>
          <w:sz w:val="28"/>
          <w:szCs w:val="28"/>
          <w:lang w:val="en-US" w:eastAsia="zh-CN"/>
        </w:rPr>
        <w:t>表</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2.打分用标准的阿拉伯数字填写。用钢笔或签字笔打分，不得随意在测评表上乱写乱画，保证表面整洁。</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3.认真思考，客观测评，慎重打分，避免涂改。</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outlineLvl w:val="9"/>
        <w:rPr>
          <w:rFonts w:hint="default" w:ascii="仿宋" w:hAnsi="仿宋" w:eastAsia="仿宋" w:cs="仿宋"/>
          <w:sz w:val="32"/>
          <w:szCs w:val="32"/>
          <w:lang w:val="en-US" w:eastAsia="zh-CN"/>
        </w:rPr>
      </w:pPr>
      <w:r>
        <w:rPr>
          <w:rFonts w:hint="eastAsia" w:ascii="宋体" w:hAnsi="宋体" w:eastAsia="宋体" w:cs="宋体"/>
          <w:color w:val="000000"/>
          <w:sz w:val="28"/>
          <w:szCs w:val="28"/>
          <w:lang w:val="en-US" w:eastAsia="zh-CN"/>
        </w:rPr>
        <w:t>4.按评价项目分项打分，最后汇总得分。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72F65"/>
    <w:rsid w:val="0A100056"/>
    <w:rsid w:val="15772F65"/>
    <w:rsid w:val="43316EC0"/>
    <w:rsid w:val="48896971"/>
    <w:rsid w:val="4F1D3822"/>
    <w:rsid w:val="64FA59C9"/>
    <w:rsid w:val="6E47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2021-04-17T15:01:00Z</dcterms:created>
  <dc:creator>师子</dc:creator>
  <cp:lastModifiedBy>职业技术学院</cp:lastModifiedBy>
  <cp:lastPrinted>2021-04-18T00:27:00Z</cp:lastPrinted>
  <dcterms:modified xsi:type="dcterms:W3CDTF">2021-04-18T01:23:20Z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656541E8DECF46A494575A2F3C48375F</vt:lpwstr>
  </property>
</Properties>
</file>